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4AE" w:rsidRPr="00CC610C" w:rsidRDefault="00ED14AE" w:rsidP="00ED14AE">
      <w:pPr>
        <w:pStyle w:val="Descripcin"/>
        <w:keepNext/>
        <w:ind w:firstLine="0"/>
        <w:jc w:val="center"/>
        <w:rPr>
          <w:sz w:val="24"/>
        </w:rPr>
      </w:pPr>
      <w:bookmarkStart w:id="0" w:name="_GoBack"/>
      <w:r w:rsidRPr="00CC610C">
        <w:rPr>
          <w:sz w:val="24"/>
        </w:rPr>
        <w:t>Plan de inversiones eje infraestructura física, mantenimiento y dotación: biblioteca, granjas y laboratorios</w:t>
      </w:r>
    </w:p>
    <w:tbl>
      <w:tblPr>
        <w:tblStyle w:val="Tabladecuadrcula4-nfasis6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5177"/>
        <w:gridCol w:w="1116"/>
        <w:gridCol w:w="1318"/>
        <w:gridCol w:w="1116"/>
        <w:gridCol w:w="1251"/>
      </w:tblGrid>
      <w:tr w:rsidR="00ED14AE" w:rsidRPr="00422097" w:rsidTr="003C2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hideMark/>
          </w:tcPr>
          <w:bookmarkEnd w:id="0"/>
          <w:p w:rsidR="00ED14AE" w:rsidRPr="00256DC5" w:rsidRDefault="00ED14AE" w:rsidP="003C2A57">
            <w:pPr>
              <w:ind w:firstLine="0"/>
              <w:jc w:val="center"/>
              <w:rPr>
                <w:color w:val="auto"/>
                <w:sz w:val="18"/>
              </w:rPr>
            </w:pPr>
            <w:r w:rsidRPr="00256DC5">
              <w:rPr>
                <w:color w:val="auto"/>
                <w:sz w:val="18"/>
              </w:rPr>
              <w:t>LINEAMIENTO ESTRATÉGICO</w:t>
            </w:r>
          </w:p>
        </w:tc>
        <w:tc>
          <w:tcPr>
            <w:tcW w:w="1417" w:type="dxa"/>
            <w:vMerge w:val="restart"/>
            <w:hideMark/>
          </w:tcPr>
          <w:p w:rsidR="00ED14AE" w:rsidRPr="00256DC5" w:rsidRDefault="00ED14AE" w:rsidP="003C2A5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256DC5">
              <w:rPr>
                <w:color w:val="auto"/>
                <w:sz w:val="18"/>
              </w:rPr>
              <w:t>PROGRAMA</w:t>
            </w:r>
          </w:p>
        </w:tc>
        <w:tc>
          <w:tcPr>
            <w:tcW w:w="5177" w:type="dxa"/>
            <w:vMerge w:val="restart"/>
            <w:hideMark/>
          </w:tcPr>
          <w:p w:rsidR="00ED14AE" w:rsidRPr="00256DC5" w:rsidRDefault="00ED14AE" w:rsidP="003C2A5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256DC5">
              <w:rPr>
                <w:color w:val="auto"/>
                <w:sz w:val="18"/>
              </w:rPr>
              <w:t>PROYECTOS</w:t>
            </w:r>
          </w:p>
        </w:tc>
        <w:tc>
          <w:tcPr>
            <w:tcW w:w="0" w:type="auto"/>
            <w:gridSpan w:val="3"/>
            <w:hideMark/>
          </w:tcPr>
          <w:p w:rsidR="00ED14AE" w:rsidRPr="00256DC5" w:rsidRDefault="00ED14AE" w:rsidP="003C2A5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256DC5">
              <w:rPr>
                <w:color w:val="auto"/>
                <w:sz w:val="18"/>
              </w:rPr>
              <w:t>PRESUPUESTO</w:t>
            </w:r>
          </w:p>
        </w:tc>
        <w:tc>
          <w:tcPr>
            <w:tcW w:w="0" w:type="auto"/>
            <w:vMerge w:val="restart"/>
            <w:hideMark/>
          </w:tcPr>
          <w:p w:rsidR="00ED14AE" w:rsidRPr="00256DC5" w:rsidRDefault="00ED14AE" w:rsidP="003C2A57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256DC5">
              <w:rPr>
                <w:color w:val="auto"/>
                <w:sz w:val="18"/>
              </w:rPr>
              <w:t>TOTAL</w:t>
            </w:r>
          </w:p>
        </w:tc>
      </w:tr>
      <w:tr w:rsidR="00ED14AE" w:rsidRPr="0042209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  <w:tc>
          <w:tcPr>
            <w:tcW w:w="5177" w:type="dxa"/>
            <w:vMerge/>
            <w:hideMark/>
          </w:tcPr>
          <w:p w:rsidR="00ED14AE" w:rsidRPr="00422097" w:rsidRDefault="00ED14AE" w:rsidP="003C2A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  <w:tc>
          <w:tcPr>
            <w:tcW w:w="0" w:type="auto"/>
            <w:hideMark/>
          </w:tcPr>
          <w:p w:rsidR="00ED14AE" w:rsidRPr="003837BB" w:rsidRDefault="00ED14AE" w:rsidP="003C2A5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3837BB">
              <w:rPr>
                <w:b/>
                <w:bCs/>
                <w:sz w:val="18"/>
              </w:rPr>
              <w:t>2024</w:t>
            </w:r>
          </w:p>
        </w:tc>
        <w:tc>
          <w:tcPr>
            <w:tcW w:w="0" w:type="auto"/>
            <w:hideMark/>
          </w:tcPr>
          <w:p w:rsidR="00ED14AE" w:rsidRPr="003837BB" w:rsidRDefault="00ED14AE" w:rsidP="003C2A5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3837BB">
              <w:rPr>
                <w:b/>
                <w:bCs/>
                <w:sz w:val="18"/>
              </w:rPr>
              <w:t>2028</w:t>
            </w:r>
          </w:p>
        </w:tc>
        <w:tc>
          <w:tcPr>
            <w:tcW w:w="0" w:type="auto"/>
            <w:hideMark/>
          </w:tcPr>
          <w:p w:rsidR="00ED14AE" w:rsidRPr="003837BB" w:rsidRDefault="00ED14AE" w:rsidP="003C2A5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3837BB">
              <w:rPr>
                <w:b/>
                <w:bCs/>
                <w:sz w:val="18"/>
              </w:rPr>
              <w:t>2032</w:t>
            </w:r>
          </w:p>
        </w:tc>
        <w:tc>
          <w:tcPr>
            <w:tcW w:w="0" w:type="auto"/>
            <w:vMerge/>
            <w:hideMark/>
          </w:tcPr>
          <w:p w:rsidR="00ED14AE" w:rsidRPr="00422097" w:rsidRDefault="00ED14AE" w:rsidP="003C2A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  <w:tr w:rsidR="00ED14AE" w:rsidRPr="00C30677" w:rsidTr="003C2A5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hideMark/>
          </w:tcPr>
          <w:p w:rsidR="00ED14AE" w:rsidRPr="00F11D75" w:rsidRDefault="00ED14AE" w:rsidP="003C2A57">
            <w:pPr>
              <w:ind w:firstLine="0"/>
              <w:jc w:val="left"/>
              <w:rPr>
                <w:b w:val="0"/>
                <w:sz w:val="18"/>
              </w:rPr>
            </w:pPr>
            <w:r w:rsidRPr="00F11D75">
              <w:rPr>
                <w:b w:val="0"/>
                <w:sz w:val="18"/>
              </w:rPr>
              <w:t>Biblioteca Moderna</w:t>
            </w:r>
          </w:p>
        </w:tc>
        <w:tc>
          <w:tcPr>
            <w:tcW w:w="1417" w:type="dxa"/>
            <w:vMerge w:val="restart"/>
            <w:hideMark/>
          </w:tcPr>
          <w:p w:rsidR="00ED14AE" w:rsidRPr="00422097" w:rsidRDefault="00ED14AE" w:rsidP="003C2A5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Infraestructura de bibliotecas</w:t>
            </w: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Plan normativo de construcción de espacios físicos para bibliotecas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</w:tr>
      <w:tr w:rsidR="00ED14AE" w:rsidRPr="0042209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F11D75" w:rsidRDefault="00ED14AE" w:rsidP="003C2A57">
            <w:pPr>
              <w:jc w:val="left"/>
              <w:rPr>
                <w:b w:val="0"/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Mejoramiento de los espacios en biblioteca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3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3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F11D75" w:rsidRDefault="00ED14AE" w:rsidP="003C2A57">
            <w:pPr>
              <w:jc w:val="left"/>
              <w:rPr>
                <w:b w:val="0"/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Modernización informática y de comunicaciones en las bibliotecas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2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2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C3067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hideMark/>
          </w:tcPr>
          <w:p w:rsidR="00ED14AE" w:rsidRPr="00F11D75" w:rsidRDefault="00ED14AE" w:rsidP="003C2A57">
            <w:pPr>
              <w:ind w:firstLine="0"/>
              <w:jc w:val="left"/>
              <w:rPr>
                <w:b w:val="0"/>
                <w:sz w:val="18"/>
              </w:rPr>
            </w:pPr>
            <w:r w:rsidRPr="00F11D75">
              <w:rPr>
                <w:b w:val="0"/>
                <w:sz w:val="18"/>
              </w:rPr>
              <w:t>Modernización de la infraestructura física</w:t>
            </w:r>
          </w:p>
        </w:tc>
        <w:tc>
          <w:tcPr>
            <w:tcW w:w="1417" w:type="dxa"/>
            <w:hideMark/>
          </w:tcPr>
          <w:p w:rsidR="00ED14AE" w:rsidRPr="00422097" w:rsidRDefault="00ED14AE" w:rsidP="003C2A57">
            <w:pPr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 xml:space="preserve">Conservación y modernización del campus </w:t>
            </w:r>
          </w:p>
        </w:tc>
        <w:tc>
          <w:tcPr>
            <w:tcW w:w="5177" w:type="dxa"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Mejoramiento áreas locativas (aula y biblioteca) en la sede la ciudadela del Municipio de Tumaco</w:t>
            </w:r>
          </w:p>
        </w:tc>
        <w:tc>
          <w:tcPr>
            <w:tcW w:w="0" w:type="auto"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650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650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hideMark/>
          </w:tcPr>
          <w:p w:rsidR="00ED14AE" w:rsidRPr="00F11D75" w:rsidRDefault="00ED14AE" w:rsidP="003C2A57">
            <w:pPr>
              <w:ind w:firstLine="0"/>
              <w:jc w:val="left"/>
              <w:rPr>
                <w:b w:val="0"/>
                <w:sz w:val="18"/>
              </w:rPr>
            </w:pPr>
            <w:r w:rsidRPr="00F11D75">
              <w:rPr>
                <w:b w:val="0"/>
                <w:sz w:val="18"/>
              </w:rPr>
              <w:t>Laboratorios de Calidad</w:t>
            </w:r>
          </w:p>
        </w:tc>
        <w:tc>
          <w:tcPr>
            <w:tcW w:w="1417" w:type="dxa"/>
            <w:vMerge w:val="restart"/>
            <w:hideMark/>
          </w:tcPr>
          <w:p w:rsidR="00ED14AE" w:rsidRPr="00422097" w:rsidRDefault="00ED14AE" w:rsidP="003C2A5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Eficiencia en servicios de los laboratorios de la Universidad de Nariño</w:t>
            </w: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Plan normativo para la infraestructura física de laboratorios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60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60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Ampliación, adecuación y mantenimiento de infraestructura física de los laboratorios especializados de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Construcción y adecuación de espacios de uso común en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Diagnóstico, actualización y mantenimiento de las instalaciones de laboratorios de investigación de la Universidad de Nariño.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Infraestructura ambiental para los laboratorios de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jc w:val="left"/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Adecuación ambiental y sostenible de la infraestructura física de los laboratorios de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 w:val="restart"/>
            <w:hideMark/>
          </w:tcPr>
          <w:p w:rsidR="00ED14AE" w:rsidRPr="00F11D75" w:rsidRDefault="00ED14AE" w:rsidP="003C2A57">
            <w:pPr>
              <w:ind w:firstLine="0"/>
              <w:jc w:val="left"/>
              <w:rPr>
                <w:b w:val="0"/>
                <w:sz w:val="18"/>
              </w:rPr>
            </w:pPr>
            <w:r w:rsidRPr="00F11D75">
              <w:rPr>
                <w:b w:val="0"/>
                <w:sz w:val="18"/>
              </w:rPr>
              <w:t>Dotación Tecnológica y de mobiliario</w:t>
            </w:r>
          </w:p>
        </w:tc>
        <w:tc>
          <w:tcPr>
            <w:tcW w:w="1417" w:type="dxa"/>
            <w:hideMark/>
          </w:tcPr>
          <w:p w:rsidR="00ED14AE" w:rsidRPr="00422097" w:rsidRDefault="00ED14AE" w:rsidP="003C2A57">
            <w:pPr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Dotación de Bibliotecas</w:t>
            </w: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Dotación Biblioteca Central de la Universidad de Nariño Sede Torobajo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3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3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C3067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rPr>
                <w:sz w:val="18"/>
              </w:rPr>
            </w:pPr>
          </w:p>
        </w:tc>
        <w:tc>
          <w:tcPr>
            <w:tcW w:w="1417" w:type="dxa"/>
            <w:vMerge w:val="restart"/>
            <w:hideMark/>
          </w:tcPr>
          <w:p w:rsidR="00ED14AE" w:rsidRPr="00422097" w:rsidRDefault="00ED14AE" w:rsidP="003C2A57">
            <w:pPr>
              <w:ind w:firstLine="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Dotación para laboratorios</w:t>
            </w: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Adquisición de equipos de laboratorio de alta tecnología para contribuir a la obtención de nuevo conocimiento científico, formación académica y vínculo con el secto</w:t>
            </w:r>
            <w:r>
              <w:rPr>
                <w:sz w:val="18"/>
              </w:rPr>
              <w:t>r productivo y empresarial que g</w:t>
            </w:r>
            <w:r w:rsidRPr="00422097">
              <w:rPr>
                <w:sz w:val="18"/>
              </w:rPr>
              <w:t xml:space="preserve">enere impacto de la Universidad de Nariño en la región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800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800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C30677" w:rsidTr="003C2A57">
        <w:trPr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ind w:firstLine="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Dotación de equipos de laboratorio al municipio de Túquerres extensión Universidad de Nariño para el fortalecimiento de formación Académica de los estu</w:t>
            </w:r>
            <w:r w:rsidRPr="00B534F1">
              <w:rPr>
                <w:sz w:val="18"/>
                <w:shd w:val="clear" w:color="auto" w:fill="E2EFDA"/>
              </w:rPr>
              <w:t>d</w:t>
            </w:r>
            <w:r w:rsidRPr="00422097">
              <w:rPr>
                <w:sz w:val="18"/>
              </w:rPr>
              <w:t xml:space="preserve">iantes de las subregiones Pacífica, Ex provincia de Obando y Sabana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760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760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rPr>
                <w:sz w:val="18"/>
              </w:rPr>
            </w:pPr>
          </w:p>
        </w:tc>
        <w:tc>
          <w:tcPr>
            <w:tcW w:w="1417" w:type="dxa"/>
            <w:vMerge w:val="restart"/>
            <w:hideMark/>
          </w:tcPr>
          <w:p w:rsidR="00ED14AE" w:rsidRPr="00422097" w:rsidRDefault="00ED14AE" w:rsidP="003C2A57">
            <w:pPr>
              <w:ind w:firstLine="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Dotación para </w:t>
            </w:r>
            <w:r w:rsidRPr="00422097">
              <w:rPr>
                <w:sz w:val="18"/>
              </w:rPr>
              <w:t xml:space="preserve">infraestructura de Fondo de Granjas. </w:t>
            </w: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Dotación de infraestructura física, técnica y tecnológica de las granjas de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750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Dotación vehículos  para las granjas de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Dotación de maquinaria agropecuaria para las granjas de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  <w:tr w:rsidR="00ED14AE" w:rsidRPr="00422097" w:rsidTr="003C2A57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Merge/>
            <w:hideMark/>
          </w:tcPr>
          <w:p w:rsidR="00ED14AE" w:rsidRPr="00422097" w:rsidRDefault="00ED14AE" w:rsidP="003C2A57">
            <w:pPr>
              <w:rPr>
                <w:sz w:val="18"/>
              </w:rPr>
            </w:pPr>
          </w:p>
        </w:tc>
        <w:tc>
          <w:tcPr>
            <w:tcW w:w="1417" w:type="dxa"/>
            <w:vMerge/>
            <w:hideMark/>
          </w:tcPr>
          <w:p w:rsidR="00ED14AE" w:rsidRPr="00422097" w:rsidRDefault="00ED14AE" w:rsidP="003C2A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5177" w:type="dxa"/>
            <w:hideMark/>
          </w:tcPr>
          <w:p w:rsidR="00ED14AE" w:rsidRPr="00422097" w:rsidRDefault="00ED14AE" w:rsidP="003C2A57">
            <w:pPr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Dotación de equipos agropecuarios para las granjas de la Universidad de Nariño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6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 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  <w:tc>
          <w:tcPr>
            <w:tcW w:w="0" w:type="auto"/>
            <w:hideMark/>
          </w:tcPr>
          <w:p w:rsidR="00ED14AE" w:rsidRPr="00422097" w:rsidRDefault="00ED14AE" w:rsidP="003C2A57">
            <w:pPr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22097">
              <w:rPr>
                <w:sz w:val="18"/>
              </w:rPr>
              <w:t>500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>000</w:t>
            </w:r>
            <w:r>
              <w:rPr>
                <w:sz w:val="18"/>
              </w:rPr>
              <w:t>,</w:t>
            </w:r>
            <w:r w:rsidRPr="00422097">
              <w:rPr>
                <w:sz w:val="18"/>
              </w:rPr>
              <w:t xml:space="preserve">000 </w:t>
            </w:r>
          </w:p>
        </w:tc>
      </w:tr>
    </w:tbl>
    <w:p w:rsidR="00ED14AE" w:rsidRPr="00CC610C" w:rsidRDefault="00ED14AE" w:rsidP="00ED14AE">
      <w:pPr>
        <w:ind w:firstLine="0"/>
        <w:jc w:val="center"/>
        <w:rPr>
          <w:rFonts w:eastAsia="Calibri"/>
          <w:color w:val="auto"/>
        </w:rPr>
      </w:pPr>
      <w:r w:rsidRPr="00CC610C">
        <w:rPr>
          <w:i/>
          <w:iCs/>
          <w:color w:val="auto"/>
          <w:sz w:val="18"/>
          <w:szCs w:val="18"/>
        </w:rPr>
        <w:t xml:space="preserve">Fuente: </w:t>
      </w:r>
      <w:r w:rsidRPr="00CC610C">
        <w:rPr>
          <w:iCs/>
          <w:color w:val="auto"/>
          <w:sz w:val="18"/>
          <w:szCs w:val="18"/>
        </w:rPr>
        <w:t>Oficina de Planeación y Desarrollo</w:t>
      </w:r>
    </w:p>
    <w:p w:rsidR="00ED14AE" w:rsidRPr="00CC610C" w:rsidRDefault="00ED14AE" w:rsidP="00ED14AE">
      <w:pPr>
        <w:rPr>
          <w:rFonts w:eastAsia="Calibri"/>
        </w:rPr>
        <w:sectPr w:rsidR="00ED14AE" w:rsidRPr="00CC610C" w:rsidSect="00F11D75">
          <w:pgSz w:w="15840" w:h="12240" w:orient="landscape"/>
          <w:pgMar w:top="1469" w:right="1440" w:bottom="1440" w:left="1440" w:header="0" w:footer="465" w:gutter="0"/>
          <w:cols w:space="720"/>
          <w:docGrid w:linePitch="326"/>
        </w:sectPr>
      </w:pPr>
    </w:p>
    <w:p w:rsidR="00931337" w:rsidRPr="00ED14AE" w:rsidRDefault="00931337" w:rsidP="00ED14AE"/>
    <w:sectPr w:rsidR="00931337" w:rsidRPr="00ED14AE" w:rsidSect="00ED14A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4AE"/>
    <w:rsid w:val="001C51CE"/>
    <w:rsid w:val="00931337"/>
    <w:rsid w:val="00D81645"/>
    <w:rsid w:val="00E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9742F-E691-436B-B13B-1138C669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4AE"/>
    <w:pPr>
      <w:spacing w:line="240" w:lineRule="auto"/>
      <w:ind w:firstLine="720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D14AE"/>
    <w:pPr>
      <w:spacing w:after="120"/>
    </w:pPr>
    <w:rPr>
      <w:b/>
      <w:iCs/>
      <w:sz w:val="20"/>
      <w:szCs w:val="18"/>
    </w:rPr>
  </w:style>
  <w:style w:type="table" w:styleId="Tabladecuadrcula4-nfasis6">
    <w:name w:val="Grid Table 4 Accent 6"/>
    <w:basedOn w:val="Tablanormal"/>
    <w:uiPriority w:val="49"/>
    <w:rsid w:val="00ED14A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2021-12-04T17:06:00Z</dcterms:created>
  <dcterms:modified xsi:type="dcterms:W3CDTF">2021-12-04T17:08:00Z</dcterms:modified>
</cp:coreProperties>
</file>